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8" w:rsidRDefault="003566D8" w:rsidP="003566D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uz-Cyrl-UZ" w:eastAsia="ru-RU"/>
        </w:rPr>
      </w:pPr>
      <w:r w:rsidRPr="003566D8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  <w:t>QUARTERLY REPORT OF THE ISSUER ON THE RESULTS OF THE FIRST QUARTER OF 2020</w:t>
      </w:r>
    </w:p>
    <w:p w:rsidR="003566D8" w:rsidRPr="003566D8" w:rsidRDefault="003566D8" w:rsidP="003566D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3566D8">
        <w:rPr>
          <w:rFonts w:ascii="OpenSansRegular" w:eastAsia="Times New Roman" w:hAnsi="OpenSansRegular" w:cs="Times New Roman"/>
          <w:color w:val="333333"/>
          <w:sz w:val="16"/>
          <w:szCs w:val="16"/>
          <w:lang w:val="en-US" w:eastAsia="ru-RU"/>
        </w:rPr>
        <w:t xml:space="preserve">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3347"/>
        <w:gridCol w:w="6173"/>
      </w:tblGrid>
      <w:tr w:rsidR="003566D8" w:rsidRPr="003566D8" w:rsidTr="003566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Joint-Stock Company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3566D8" w:rsidRPr="003566D8" w:rsidTr="003566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settlement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3566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3566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3566D8" w:rsidRPr="003566D8" w:rsidTr="003566D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serving bank: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6D8" w:rsidRPr="003566D8" w:rsidRDefault="003566D8" w:rsidP="003566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5635"/>
        <w:gridCol w:w="693"/>
        <w:gridCol w:w="1686"/>
        <w:gridCol w:w="1686"/>
      </w:tblGrid>
      <w:tr w:rsidR="003566D8" w:rsidRPr="003566D8" w:rsidTr="003566D8">
        <w:tc>
          <w:tcPr>
            <w:tcW w:w="32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6051177518.00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6051779415.00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1850168011.00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1926665885.00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4201009507.00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4125113530.00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4717806269.00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4658833691.00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8188311.00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11081709.00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2467062.00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2381959.00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8936911627.00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8804851367.00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98547043.00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56272015.00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98547043.00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647366420.00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622043631.00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621361668.00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529340277.00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13497467.00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13396030.00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1440641.00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62616816.00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1265882.00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164995.00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9733657.00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15135360.00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88764253.00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15948637.00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12771932.00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8613606.00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487256.00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75992320.00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6824846.00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3493682.00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6203682.00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795896370.00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742774547.00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9732807997.00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9547625914.00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2174043098.00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2174043112.00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-165880664.00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-312523199.00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120689256.00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120689257.00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2270759440.00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2124116920.00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7367979556.00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7234072954.00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54894949.00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4930293998.00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4863588854.00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2383058700.00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2315589151.00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54626858.00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54894949.00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189436040.00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94069001.00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27052613.00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37809509.00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6024987.00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999935.00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2939895.00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136133.00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101874.00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3855518.00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944251.00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1477956.00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718475.00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2449318.00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2945571.00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162383427.00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47340632.00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13377560.00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7462048557.00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7423508994.00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9732807997.00</w:t>
            </w:r>
          </w:p>
        </w:tc>
        <w:tc>
          <w:tcPr>
            <w:tcW w:w="1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9547625914.00</w:t>
            </w:r>
          </w:p>
        </w:tc>
      </w:tr>
    </w:tbl>
    <w:p w:rsidR="003566D8" w:rsidRPr="003566D8" w:rsidRDefault="003566D8" w:rsidP="003566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9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2668"/>
        <w:gridCol w:w="693"/>
        <w:gridCol w:w="1566"/>
        <w:gridCol w:w="1566"/>
        <w:gridCol w:w="1566"/>
        <w:gridCol w:w="1566"/>
      </w:tblGrid>
      <w:tr w:rsidR="003566D8" w:rsidRPr="003566D8" w:rsidTr="003566D8">
        <w:tc>
          <w:tcPr>
            <w:tcW w:w="30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520650575.00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409866746.00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505414455.00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384736693.00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15236120.00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25130053.00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11308674.00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76848480.00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15547.00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661372.00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6283640.00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10631755.00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70533534.00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193911.00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429531.00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4121357.00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51288896.00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Income from long-term </w:t>
            </w: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lease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85399074.00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180752713.00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20990194.00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159762519.00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4106955.00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487639.00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3619316.00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146642535.00</w:t>
            </w:r>
          </w:p>
        </w:tc>
      </w:tr>
    </w:tbl>
    <w:p w:rsidR="003566D8" w:rsidRPr="003566D8" w:rsidRDefault="003566D8" w:rsidP="003566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887"/>
        <w:gridCol w:w="4536"/>
      </w:tblGrid>
      <w:tr w:rsidR="003566D8" w:rsidRPr="003566D8" w:rsidTr="003566D8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D8" w:rsidRPr="003566D8" w:rsidTr="003566D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566D8" w:rsidRPr="003566D8" w:rsidRDefault="003566D8" w:rsidP="003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566D8"/>
    <w:rsid w:val="003566D8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6D8"/>
    <w:rPr>
      <w:b/>
      <w:bCs/>
    </w:rPr>
  </w:style>
  <w:style w:type="character" w:styleId="a4">
    <w:name w:val="Hyperlink"/>
    <w:basedOn w:val="a0"/>
    <w:uiPriority w:val="99"/>
    <w:semiHidden/>
    <w:unhideWhenUsed/>
    <w:rsid w:val="00356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404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728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2020-07-03T04:15:00Z</dcterms:created>
  <dcterms:modified xsi:type="dcterms:W3CDTF">2020-07-03T04:22:00Z</dcterms:modified>
</cp:coreProperties>
</file>